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04C" w:rsidRPr="00255F5C" w:rsidRDefault="00F2156F" w:rsidP="00255F5C">
      <w:pPr>
        <w:spacing w:line="360" w:lineRule="auto"/>
        <w:ind w:firstLineChars="500" w:firstLine="2000"/>
        <w:rPr>
          <w:rFonts w:ascii="宋体" w:eastAsia="宋体" w:hAnsi="宋体"/>
          <w:sz w:val="24"/>
          <w:szCs w:val="24"/>
        </w:rPr>
      </w:pPr>
      <w:bookmarkStart w:id="0" w:name="_GoBack"/>
      <w:bookmarkEnd w:id="0"/>
      <w:r w:rsidRPr="00255F5C">
        <w:rPr>
          <w:rFonts w:ascii="宋体" w:eastAsia="宋体" w:hAnsi="宋体" w:hint="eastAsia"/>
          <w:sz w:val="40"/>
          <w:szCs w:val="40"/>
        </w:rPr>
        <w:t>空</w:t>
      </w:r>
      <w:proofErr w:type="gramStart"/>
      <w:r w:rsidRPr="00255F5C">
        <w:rPr>
          <w:rFonts w:ascii="宋体" w:eastAsia="宋体" w:hAnsi="宋体" w:hint="eastAsia"/>
          <w:sz w:val="40"/>
          <w:szCs w:val="40"/>
        </w:rPr>
        <w:t>天院关键</w:t>
      </w:r>
      <w:proofErr w:type="gramEnd"/>
      <w:r w:rsidRPr="00255F5C">
        <w:rPr>
          <w:rFonts w:ascii="宋体" w:eastAsia="宋体" w:hAnsi="宋体" w:hint="eastAsia"/>
          <w:sz w:val="40"/>
          <w:szCs w:val="40"/>
        </w:rPr>
        <w:t>设施设备情况</w:t>
      </w:r>
    </w:p>
    <w:p w:rsidR="004B404C" w:rsidRPr="00255F5C" w:rsidRDefault="00F2156F" w:rsidP="00255F5C">
      <w:pPr>
        <w:spacing w:line="360" w:lineRule="auto"/>
        <w:ind w:firstLineChars="200" w:firstLine="480"/>
        <w:rPr>
          <w:rFonts w:ascii="宋体" w:eastAsia="宋体" w:hAnsi="宋体" w:cs="宋体"/>
          <w:sz w:val="24"/>
          <w:szCs w:val="24"/>
        </w:rPr>
      </w:pPr>
      <w:r w:rsidRPr="00255F5C">
        <w:rPr>
          <w:rFonts w:ascii="宋体" w:eastAsia="宋体" w:hAnsi="宋体" w:hint="eastAsia"/>
          <w:sz w:val="24"/>
          <w:szCs w:val="24"/>
        </w:rPr>
        <w:t>作为我国空</w:t>
      </w:r>
      <w:proofErr w:type="gramStart"/>
      <w:r w:rsidRPr="00255F5C">
        <w:rPr>
          <w:rFonts w:ascii="宋体" w:eastAsia="宋体" w:hAnsi="宋体" w:hint="eastAsia"/>
          <w:sz w:val="24"/>
          <w:szCs w:val="24"/>
        </w:rPr>
        <w:t>天信息</w:t>
      </w:r>
      <w:proofErr w:type="gramEnd"/>
      <w:r w:rsidRPr="00255F5C">
        <w:rPr>
          <w:rFonts w:ascii="宋体" w:eastAsia="宋体" w:hAnsi="宋体" w:hint="eastAsia"/>
          <w:sz w:val="24"/>
          <w:szCs w:val="24"/>
        </w:rPr>
        <w:t>科技战略创新力量，经过60多年的发展，</w:t>
      </w:r>
      <w:proofErr w:type="gramStart"/>
      <w:r w:rsidRPr="00255F5C">
        <w:rPr>
          <w:rFonts w:ascii="宋体" w:eastAsia="宋体" w:hAnsi="宋体" w:hint="eastAsia"/>
          <w:sz w:val="24"/>
          <w:szCs w:val="24"/>
        </w:rPr>
        <w:t>空天院</w:t>
      </w:r>
      <w:r w:rsidRPr="00255F5C">
        <w:rPr>
          <w:rFonts w:ascii="宋体" w:eastAsia="宋体" w:hAnsi="宋体"/>
          <w:sz w:val="24"/>
          <w:szCs w:val="24"/>
        </w:rPr>
        <w:t>已</w:t>
      </w:r>
      <w:proofErr w:type="gramEnd"/>
      <w:r w:rsidRPr="00255F5C">
        <w:rPr>
          <w:rFonts w:ascii="宋体" w:eastAsia="宋体" w:hAnsi="宋体"/>
          <w:sz w:val="24"/>
          <w:szCs w:val="24"/>
        </w:rPr>
        <w:t>基本形成了空</w:t>
      </w:r>
      <w:proofErr w:type="gramStart"/>
      <w:r w:rsidRPr="00255F5C">
        <w:rPr>
          <w:rFonts w:ascii="宋体" w:eastAsia="宋体" w:hAnsi="宋体"/>
          <w:sz w:val="24"/>
          <w:szCs w:val="24"/>
        </w:rPr>
        <w:t>天信息</w:t>
      </w:r>
      <w:proofErr w:type="gramEnd"/>
      <w:r w:rsidRPr="00255F5C">
        <w:rPr>
          <w:rFonts w:ascii="宋体" w:eastAsia="宋体" w:hAnsi="宋体"/>
          <w:sz w:val="24"/>
          <w:szCs w:val="24"/>
        </w:rPr>
        <w:t>领域高起点、大格局、全链条布局的研究方向</w:t>
      </w:r>
      <w:r w:rsidRPr="00255F5C">
        <w:rPr>
          <w:rFonts w:ascii="宋体" w:eastAsia="宋体" w:hAnsi="宋体" w:hint="eastAsia"/>
          <w:sz w:val="24"/>
          <w:szCs w:val="24"/>
        </w:rPr>
        <w:t>，具备了全谱段遥感载荷与空间电子学器件研制、天空地一体化信息获取平台、空</w:t>
      </w:r>
      <w:proofErr w:type="gramStart"/>
      <w:r w:rsidRPr="00255F5C">
        <w:rPr>
          <w:rFonts w:ascii="宋体" w:eastAsia="宋体" w:hAnsi="宋体" w:hint="eastAsia"/>
          <w:sz w:val="24"/>
          <w:szCs w:val="24"/>
        </w:rPr>
        <w:t>天信息</w:t>
      </w:r>
      <w:proofErr w:type="gramEnd"/>
      <w:r w:rsidRPr="00255F5C">
        <w:rPr>
          <w:rFonts w:ascii="宋体" w:eastAsia="宋体" w:hAnsi="宋体" w:hint="eastAsia"/>
          <w:sz w:val="24"/>
          <w:szCs w:val="24"/>
        </w:rPr>
        <w:t>综合应用三大方向的研究能力。截至2024年12月底，</w:t>
      </w:r>
      <w:proofErr w:type="gramStart"/>
      <w:r w:rsidRPr="00255F5C">
        <w:rPr>
          <w:rFonts w:ascii="宋体" w:eastAsia="宋体" w:hAnsi="宋体" w:cs="宋体" w:hint="eastAsia"/>
          <w:sz w:val="24"/>
          <w:szCs w:val="24"/>
        </w:rPr>
        <w:t>空天院</w:t>
      </w:r>
      <w:r w:rsidRPr="00255F5C">
        <w:rPr>
          <w:rFonts w:ascii="宋体" w:eastAsia="宋体" w:hAnsi="宋体" w:cs="宋体"/>
          <w:sz w:val="24"/>
          <w:szCs w:val="24"/>
        </w:rPr>
        <w:t>固定资产</w:t>
      </w:r>
      <w:proofErr w:type="gramEnd"/>
      <w:r w:rsidRPr="00255F5C">
        <w:rPr>
          <w:rFonts w:ascii="宋体" w:eastAsia="宋体" w:hAnsi="宋体" w:cs="宋体" w:hint="eastAsia"/>
          <w:sz w:val="24"/>
          <w:szCs w:val="24"/>
        </w:rPr>
        <w:t>80262</w:t>
      </w:r>
      <w:r w:rsidRPr="00255F5C">
        <w:rPr>
          <w:rFonts w:ascii="宋体" w:eastAsia="宋体" w:hAnsi="宋体" w:cs="宋体"/>
          <w:sz w:val="24"/>
          <w:szCs w:val="24"/>
        </w:rPr>
        <w:t>台套，</w:t>
      </w:r>
      <w:r w:rsidRPr="00255F5C">
        <w:rPr>
          <w:rFonts w:ascii="宋体" w:eastAsia="宋体" w:hAnsi="宋体" w:cs="宋体" w:hint="eastAsia"/>
          <w:sz w:val="24"/>
          <w:szCs w:val="24"/>
        </w:rPr>
        <w:t>金额（原值）80.3</w:t>
      </w:r>
      <w:r w:rsidRPr="00255F5C">
        <w:rPr>
          <w:rFonts w:ascii="宋体" w:eastAsia="宋体" w:hAnsi="宋体" w:cs="宋体"/>
          <w:sz w:val="24"/>
          <w:szCs w:val="24"/>
        </w:rPr>
        <w:t>亿元</w:t>
      </w:r>
      <w:r w:rsidRPr="00255F5C">
        <w:rPr>
          <w:rFonts w:ascii="宋体" w:eastAsia="宋体" w:hAnsi="宋体" w:cs="宋体" w:hint="eastAsia"/>
          <w:sz w:val="24"/>
          <w:szCs w:val="24"/>
        </w:rPr>
        <w:t>，其中包含</w:t>
      </w:r>
      <w:r w:rsidRPr="00255F5C">
        <w:rPr>
          <w:rFonts w:ascii="宋体" w:eastAsia="宋体" w:hAnsi="宋体" w:hint="eastAsia"/>
          <w:sz w:val="24"/>
          <w:szCs w:val="24"/>
        </w:rPr>
        <w:t>科研</w:t>
      </w:r>
      <w:r w:rsidRPr="00255F5C">
        <w:rPr>
          <w:rFonts w:ascii="宋体" w:eastAsia="宋体" w:hAnsi="宋体"/>
          <w:sz w:val="24"/>
          <w:szCs w:val="24"/>
        </w:rPr>
        <w:t>设备</w:t>
      </w:r>
      <w:r w:rsidRPr="00255F5C">
        <w:rPr>
          <w:rFonts w:ascii="宋体" w:eastAsia="宋体" w:hAnsi="宋体" w:hint="eastAsia"/>
          <w:sz w:val="24"/>
          <w:szCs w:val="24"/>
        </w:rPr>
        <w:t>37570</w:t>
      </w:r>
      <w:r w:rsidRPr="00255F5C">
        <w:rPr>
          <w:rFonts w:ascii="宋体" w:eastAsia="宋体" w:hAnsi="宋体"/>
          <w:sz w:val="24"/>
          <w:szCs w:val="24"/>
        </w:rPr>
        <w:t>台套，</w:t>
      </w:r>
      <w:r w:rsidRPr="00255F5C">
        <w:rPr>
          <w:rFonts w:ascii="宋体" w:eastAsia="宋体" w:hAnsi="宋体" w:hint="eastAsia"/>
          <w:sz w:val="24"/>
          <w:szCs w:val="24"/>
        </w:rPr>
        <w:t>金额（</w:t>
      </w:r>
      <w:r w:rsidRPr="00255F5C">
        <w:rPr>
          <w:rFonts w:ascii="宋体" w:eastAsia="宋体" w:hAnsi="宋体"/>
          <w:sz w:val="24"/>
          <w:szCs w:val="24"/>
        </w:rPr>
        <w:t>原值</w:t>
      </w:r>
      <w:r w:rsidRPr="00255F5C">
        <w:rPr>
          <w:rFonts w:ascii="宋体" w:eastAsia="宋体" w:hAnsi="宋体" w:hint="eastAsia"/>
          <w:sz w:val="24"/>
          <w:szCs w:val="24"/>
        </w:rPr>
        <w:t>）48</w:t>
      </w:r>
      <w:r w:rsidRPr="00255F5C">
        <w:rPr>
          <w:rFonts w:ascii="宋体" w:eastAsia="宋体" w:hAnsi="宋体"/>
          <w:sz w:val="24"/>
          <w:szCs w:val="24"/>
        </w:rPr>
        <w:t>.</w:t>
      </w:r>
      <w:r w:rsidRPr="00255F5C">
        <w:rPr>
          <w:rFonts w:ascii="宋体" w:eastAsia="宋体" w:hAnsi="宋体" w:hint="eastAsia"/>
          <w:sz w:val="24"/>
          <w:szCs w:val="24"/>
        </w:rPr>
        <w:t>2</w:t>
      </w:r>
      <w:r w:rsidRPr="00255F5C">
        <w:rPr>
          <w:rFonts w:ascii="宋体" w:eastAsia="宋体" w:hAnsi="宋体"/>
          <w:sz w:val="24"/>
          <w:szCs w:val="24"/>
        </w:rPr>
        <w:t>亿</w:t>
      </w:r>
      <w:r w:rsidRPr="00255F5C">
        <w:rPr>
          <w:rFonts w:ascii="宋体" w:eastAsia="宋体" w:hAnsi="宋体" w:hint="eastAsia"/>
          <w:sz w:val="24"/>
          <w:szCs w:val="24"/>
        </w:rPr>
        <w:t>元，纳入空</w:t>
      </w:r>
      <w:proofErr w:type="gramStart"/>
      <w:r w:rsidRPr="00255F5C">
        <w:rPr>
          <w:rFonts w:ascii="宋体" w:eastAsia="宋体" w:hAnsi="宋体" w:hint="eastAsia"/>
          <w:sz w:val="24"/>
          <w:szCs w:val="24"/>
        </w:rPr>
        <w:t>天院关键</w:t>
      </w:r>
      <w:proofErr w:type="gramEnd"/>
      <w:r w:rsidRPr="00255F5C">
        <w:rPr>
          <w:rFonts w:ascii="宋体" w:eastAsia="宋体" w:hAnsi="宋体" w:cs="宋体" w:hint="eastAsia"/>
          <w:sz w:val="24"/>
          <w:szCs w:val="24"/>
        </w:rPr>
        <w:t>科研生产设备管理的设备439台套，金额（原值）10.1亿元。</w:t>
      </w:r>
    </w:p>
    <w:p w:rsidR="004B404C" w:rsidRPr="00255F5C" w:rsidRDefault="00F2156F" w:rsidP="00255F5C">
      <w:pPr>
        <w:spacing w:line="360" w:lineRule="auto"/>
        <w:ind w:firstLineChars="200" w:firstLine="480"/>
        <w:rPr>
          <w:rFonts w:ascii="宋体" w:eastAsia="宋体" w:hAnsi="宋体"/>
          <w:sz w:val="24"/>
          <w:szCs w:val="24"/>
        </w:rPr>
      </w:pPr>
      <w:proofErr w:type="gramStart"/>
      <w:r w:rsidRPr="00255F5C">
        <w:rPr>
          <w:rFonts w:ascii="宋体" w:eastAsia="宋体" w:hAnsi="宋体" w:cs="宋体" w:hint="eastAsia"/>
          <w:sz w:val="24"/>
          <w:szCs w:val="24"/>
        </w:rPr>
        <w:t>空天院包含</w:t>
      </w:r>
      <w:proofErr w:type="gramEnd"/>
      <w:r w:rsidRPr="00255F5C">
        <w:rPr>
          <w:rFonts w:ascii="宋体" w:eastAsia="宋体" w:hAnsi="宋体" w:hint="eastAsia"/>
          <w:sz w:val="24"/>
          <w:szCs w:val="24"/>
        </w:rPr>
        <w:t>两个大科学装置的</w:t>
      </w:r>
      <w:r w:rsidRPr="00255F5C">
        <w:rPr>
          <w:rFonts w:ascii="宋体" w:eastAsia="宋体" w:hAnsi="宋体"/>
          <w:sz w:val="24"/>
          <w:szCs w:val="24"/>
        </w:rPr>
        <w:t>设</w:t>
      </w:r>
      <w:r w:rsidRPr="00255F5C">
        <w:rPr>
          <w:rFonts w:ascii="宋体" w:eastAsia="宋体" w:hAnsi="宋体" w:hint="eastAsia"/>
          <w:sz w:val="24"/>
          <w:szCs w:val="24"/>
        </w:rPr>
        <w:t>备设施6180</w:t>
      </w:r>
      <w:r w:rsidRPr="00255F5C">
        <w:rPr>
          <w:rFonts w:ascii="宋体" w:eastAsia="宋体" w:hAnsi="宋体"/>
          <w:sz w:val="24"/>
          <w:szCs w:val="24"/>
        </w:rPr>
        <w:t>台套，</w:t>
      </w:r>
      <w:r w:rsidRPr="00255F5C">
        <w:rPr>
          <w:rFonts w:ascii="宋体" w:eastAsia="宋体" w:hAnsi="宋体" w:hint="eastAsia"/>
          <w:sz w:val="24"/>
          <w:szCs w:val="24"/>
        </w:rPr>
        <w:t>金额1</w:t>
      </w:r>
      <w:r w:rsidR="00320763" w:rsidRPr="00255F5C">
        <w:rPr>
          <w:rFonts w:ascii="宋体" w:eastAsia="宋体" w:hAnsi="宋体" w:hint="eastAsia"/>
          <w:sz w:val="24"/>
          <w:szCs w:val="24"/>
        </w:rPr>
        <w:t>8.42</w:t>
      </w:r>
      <w:r w:rsidRPr="00255F5C">
        <w:rPr>
          <w:rFonts w:ascii="宋体" w:eastAsia="宋体" w:hAnsi="宋体" w:hint="eastAsia"/>
          <w:sz w:val="24"/>
          <w:szCs w:val="24"/>
        </w:rPr>
        <w:t>亿元。</w:t>
      </w:r>
    </w:p>
    <w:p w:rsidR="004B404C" w:rsidRDefault="00F2156F" w:rsidP="00255F5C">
      <w:pPr>
        <w:spacing w:line="360" w:lineRule="auto"/>
        <w:ind w:firstLineChars="200" w:firstLine="480"/>
        <w:rPr>
          <w:rFonts w:ascii="宋体" w:eastAsia="宋体" w:hAnsi="宋体"/>
          <w:sz w:val="24"/>
          <w:szCs w:val="24"/>
        </w:rPr>
      </w:pPr>
      <w:r w:rsidRPr="00255F5C">
        <w:rPr>
          <w:rFonts w:ascii="宋体" w:eastAsia="宋体" w:hAnsi="宋体" w:hint="eastAsia"/>
          <w:sz w:val="24"/>
          <w:szCs w:val="24"/>
        </w:rPr>
        <w:t>能够提供全社会共享的公共技术支撑平台包括：</w:t>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t>大科学装置遥感卫星地面接收站：具备S、X、</w:t>
      </w:r>
      <w:proofErr w:type="spellStart"/>
      <w:r>
        <w:rPr>
          <w:rFonts w:ascii="宋体" w:eastAsia="宋体" w:hAnsi="宋体" w:hint="eastAsia"/>
          <w:sz w:val="24"/>
          <w:szCs w:val="24"/>
        </w:rPr>
        <w:t>Ka</w:t>
      </w:r>
      <w:proofErr w:type="spellEnd"/>
      <w:r>
        <w:rPr>
          <w:rFonts w:ascii="宋体" w:eastAsia="宋体" w:hAnsi="宋体" w:hint="eastAsia"/>
          <w:sz w:val="24"/>
          <w:szCs w:val="24"/>
        </w:rPr>
        <w:t>频段的卫星下行数据接收能力；其核心技术指标—卫星数据接收的码速率达到2*800Mbps（X频段）和4×1.5Gbps（</w:t>
      </w:r>
      <w:proofErr w:type="spellStart"/>
      <w:r>
        <w:rPr>
          <w:rFonts w:ascii="宋体" w:eastAsia="宋体" w:hAnsi="宋体" w:hint="eastAsia"/>
          <w:sz w:val="24"/>
          <w:szCs w:val="24"/>
        </w:rPr>
        <w:t>Ka</w:t>
      </w:r>
      <w:proofErr w:type="spellEnd"/>
      <w:r>
        <w:rPr>
          <w:rFonts w:ascii="宋体" w:eastAsia="宋体" w:hAnsi="宋体" w:hint="eastAsia"/>
          <w:sz w:val="24"/>
          <w:szCs w:val="24"/>
        </w:rPr>
        <w:t>频段），具有国际领先水平；系统具备高动态、低信噪比的卫星信号快速捕获与跟踪能力以及多颗国内外卫星数据的实时记录、</w:t>
      </w:r>
      <w:proofErr w:type="gramStart"/>
      <w:r>
        <w:rPr>
          <w:rFonts w:ascii="宋体" w:eastAsia="宋体" w:hAnsi="宋体" w:hint="eastAsia"/>
          <w:sz w:val="24"/>
          <w:szCs w:val="24"/>
        </w:rPr>
        <w:t>快视和</w:t>
      </w:r>
      <w:proofErr w:type="gramEnd"/>
      <w:r>
        <w:rPr>
          <w:rFonts w:ascii="宋体" w:eastAsia="宋体" w:hAnsi="宋体" w:hint="eastAsia"/>
          <w:sz w:val="24"/>
          <w:szCs w:val="24"/>
        </w:rPr>
        <w:t>传输能力，最高能够支持5通道总计3000Mbps的数据记录。</w:t>
      </w:r>
    </w:p>
    <w:p w:rsidR="004B404C" w:rsidRDefault="004B404C" w:rsidP="00255F5C">
      <w:pPr>
        <w:spacing w:line="360" w:lineRule="auto"/>
        <w:rPr>
          <w:rFonts w:ascii="宋体" w:eastAsia="宋体" w:hAnsi="宋体"/>
          <w:sz w:val="24"/>
          <w:szCs w:val="24"/>
        </w:rPr>
      </w:pPr>
    </w:p>
    <w:p w:rsidR="004B404C" w:rsidRDefault="00F2156F" w:rsidP="00255F5C">
      <w:pPr>
        <w:spacing w:line="360" w:lineRule="auto"/>
        <w:rPr>
          <w:rFonts w:ascii="宋体" w:eastAsia="宋体" w:hAnsi="宋体" w:cs="宋体"/>
          <w:sz w:val="24"/>
          <w:szCs w:val="24"/>
        </w:rPr>
      </w:pPr>
      <w:r>
        <w:rPr>
          <w:rFonts w:ascii="宋体" w:eastAsia="宋体" w:hAnsi="宋体" w:cs="宋体"/>
          <w:noProof/>
          <w:sz w:val="24"/>
          <w:szCs w:val="24"/>
        </w:rPr>
        <w:drawing>
          <wp:inline distT="0" distB="0" distL="114300" distR="114300" wp14:anchorId="6E83E5DD" wp14:editId="55164958">
            <wp:extent cx="1475740" cy="1149350"/>
            <wp:effectExtent l="0" t="0" r="1016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1475740" cy="1149350"/>
                    </a:xfrm>
                    <a:prstGeom prst="rect">
                      <a:avLst/>
                    </a:prstGeom>
                    <a:noFill/>
                    <a:ln w="9525">
                      <a:noFill/>
                    </a:ln>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114300" distR="114300" wp14:anchorId="53088AC3" wp14:editId="09C033DC">
            <wp:extent cx="1629410" cy="1171575"/>
            <wp:effectExtent l="0" t="0" r="889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1629410" cy="1171575"/>
                    </a:xfrm>
                    <a:prstGeom prst="rect">
                      <a:avLst/>
                    </a:prstGeom>
                    <a:noFill/>
                    <a:ln w="9525">
                      <a:noFill/>
                    </a:ln>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114300" distR="114300" wp14:anchorId="2D922A4F" wp14:editId="5B6DD2B1">
            <wp:extent cx="1562735" cy="1179830"/>
            <wp:effectExtent l="0" t="0" r="18415"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1562735" cy="1179830"/>
                    </a:xfrm>
                    <a:prstGeom prst="rect">
                      <a:avLst/>
                    </a:prstGeom>
                    <a:noFill/>
                    <a:ln w="9525">
                      <a:noFill/>
                    </a:ln>
                  </pic:spPr>
                </pic:pic>
              </a:graphicData>
            </a:graphic>
          </wp:inline>
        </w:drawing>
      </w:r>
    </w:p>
    <w:p w:rsidR="004B404C" w:rsidRDefault="00F2156F" w:rsidP="00255F5C">
      <w:pPr>
        <w:spacing w:line="360" w:lineRule="auto"/>
        <w:rPr>
          <w:rFonts w:ascii="宋体" w:eastAsia="宋体" w:hAnsi="宋体" w:cs="宋体"/>
          <w:sz w:val="24"/>
          <w:szCs w:val="24"/>
        </w:rPr>
      </w:pPr>
      <w:r>
        <w:rPr>
          <w:rFonts w:ascii="宋体" w:eastAsia="宋体" w:hAnsi="宋体" w:cs="宋体" w:hint="eastAsia"/>
          <w:sz w:val="24"/>
          <w:szCs w:val="24"/>
        </w:rPr>
        <w:t xml:space="preserve">     密云接收站               喀什接收站               三亚接收站</w:t>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t>大科学装置航空遥感飞机：两架遥感飞机是实现遥感载荷和未来新型遥感载荷对地观测的运载工具，是国家实现</w:t>
      </w:r>
      <w:proofErr w:type="gramStart"/>
      <w:r>
        <w:rPr>
          <w:rFonts w:ascii="宋体" w:eastAsia="宋体" w:hAnsi="宋体" w:hint="eastAsia"/>
          <w:sz w:val="24"/>
          <w:szCs w:val="24"/>
        </w:rPr>
        <w:t>航空对</w:t>
      </w:r>
      <w:proofErr w:type="gramEnd"/>
      <w:r>
        <w:rPr>
          <w:rFonts w:ascii="宋体" w:eastAsia="宋体" w:hAnsi="宋体" w:hint="eastAsia"/>
          <w:sz w:val="24"/>
          <w:szCs w:val="24"/>
        </w:rPr>
        <w:t>地观测的重要运载平台，具有多种观测窗口，可满足多种遥感设备（光学、红外、微波等）综合集成、同时作业、数据处理和传输、人员操作等要求，具备长期稳定运行的能力。</w:t>
      </w:r>
    </w:p>
    <w:p w:rsidR="004B404C" w:rsidRDefault="00F2156F" w:rsidP="00255F5C">
      <w:pPr>
        <w:spacing w:line="360" w:lineRule="auto"/>
        <w:jc w:val="center"/>
        <w:rPr>
          <w:rFonts w:ascii="宋体" w:eastAsia="宋体" w:hAnsi="宋体"/>
          <w:sz w:val="24"/>
          <w:szCs w:val="24"/>
        </w:rPr>
      </w:pPr>
      <w:r>
        <w:rPr>
          <w:rFonts w:hint="eastAsia"/>
          <w:noProof/>
        </w:rPr>
        <w:drawing>
          <wp:inline distT="0" distB="0" distL="114300" distR="114300" wp14:anchorId="1F38C0C5" wp14:editId="5F4811B1">
            <wp:extent cx="1917065" cy="1437640"/>
            <wp:effectExtent l="0" t="0" r="6985" b="10160"/>
            <wp:docPr id="14" name="图片 14" descr="433791d81a4cba33fc317f62e9f0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33791d81a4cba33fc317f62e9f0f66"/>
                    <pic:cNvPicPr>
                      <a:picLocks noChangeAspect="1"/>
                    </pic:cNvPicPr>
                  </pic:nvPicPr>
                  <pic:blipFill>
                    <a:blip r:embed="rId11"/>
                    <a:stretch>
                      <a:fillRect/>
                    </a:stretch>
                  </pic:blipFill>
                  <pic:spPr>
                    <a:xfrm>
                      <a:off x="0" y="0"/>
                      <a:ext cx="1917065" cy="1437640"/>
                    </a:xfrm>
                    <a:prstGeom prst="rect">
                      <a:avLst/>
                    </a:prstGeom>
                  </pic:spPr>
                </pic:pic>
              </a:graphicData>
            </a:graphic>
          </wp:inline>
        </w:drawing>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遥感实验与评测平台：包含微波目标特性测量与仿真成像科学实验平台和SAR远场散射测量系统，是亚洲唯一、国际先进、高度集成的大型微波遥感基础实验科学装置。此外，还拥有遥感测试分析平台、光学定标实验室、遥感测试分析平台、多波段多尺度遥感综合观测平台、北京地区大气环境监测超级站、怀来遥感综合试验站等可进行传感器定标、参数测量、系统集成到传感器研发、地基和近地表遥感观测、高性能计算与数值模拟，大气监测及遥感反演研究等，具备配套齐全的综合技术支撑和保障能力。</w:t>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6ADBA21E" wp14:editId="06E74B8B">
            <wp:extent cx="4987925" cy="2476500"/>
            <wp:effectExtent l="0" t="0" r="317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2"/>
                    <a:stretch>
                      <a:fillRect/>
                    </a:stretch>
                  </pic:blipFill>
                  <pic:spPr>
                    <a:xfrm>
                      <a:off x="0" y="0"/>
                      <a:ext cx="4987925" cy="2476500"/>
                    </a:xfrm>
                    <a:prstGeom prst="rect">
                      <a:avLst/>
                    </a:prstGeom>
                    <a:noFill/>
                    <a:ln w="9525">
                      <a:noFill/>
                    </a:ln>
                  </pic:spPr>
                </pic:pic>
              </a:graphicData>
            </a:graphic>
          </wp:inline>
        </w:drawing>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7249C386" wp14:editId="12DED615">
            <wp:extent cx="5782945" cy="2847975"/>
            <wp:effectExtent l="0" t="0" r="825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3"/>
                    <a:stretch>
                      <a:fillRect/>
                    </a:stretch>
                  </pic:blipFill>
                  <pic:spPr>
                    <a:xfrm>
                      <a:off x="0" y="0"/>
                      <a:ext cx="5782945" cy="2847975"/>
                    </a:xfrm>
                    <a:prstGeom prst="rect">
                      <a:avLst/>
                    </a:prstGeom>
                    <a:noFill/>
                    <a:ln w="9525">
                      <a:noFill/>
                    </a:ln>
                  </pic:spPr>
                </pic:pic>
              </a:graphicData>
            </a:graphic>
          </wp:inline>
        </w:drawing>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t>光学检验与计量平台：具有权威性中国认可国际互认检测ILAC-MRA/CNAS 、中国认可检测CNAS、中国计量CMA、中国质量监督授权CAL资质，2019年获得国防检测实验室DILAC检测资质能力。可以出具国际互认ILAC-MRA标识检测报告。检测项包括：激光电源、激光产品、激光器件、光度</w:t>
      </w:r>
      <w:r>
        <w:rPr>
          <w:rFonts w:ascii="宋体" w:eastAsia="宋体" w:hAnsi="宋体" w:hint="eastAsia"/>
          <w:sz w:val="24"/>
          <w:szCs w:val="24"/>
        </w:rPr>
        <w:lastRenderedPageBreak/>
        <w:t>色度、激光测量、激光产品安全等6类产品100余项，覆盖国内外大部分激光器件及产品。</w:t>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09C79469" wp14:editId="48953D23">
            <wp:extent cx="3506470" cy="1651000"/>
            <wp:effectExtent l="0" t="0" r="17780"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a:stretch>
                      <a:fillRect/>
                    </a:stretch>
                  </pic:blipFill>
                  <pic:spPr>
                    <a:xfrm>
                      <a:off x="0" y="0"/>
                      <a:ext cx="3506470" cy="1651000"/>
                    </a:xfrm>
                    <a:prstGeom prst="rect">
                      <a:avLst/>
                    </a:prstGeom>
                    <a:noFill/>
                    <a:ln w="9525">
                      <a:noFill/>
                    </a:ln>
                  </pic:spPr>
                </pic:pic>
              </a:graphicData>
            </a:graphic>
          </wp:inline>
        </w:drawing>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20573C03" wp14:editId="4DA5FFD4">
            <wp:extent cx="3901440" cy="1971675"/>
            <wp:effectExtent l="0" t="0" r="3810"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3901440" cy="1971675"/>
                    </a:xfrm>
                    <a:prstGeom prst="rect">
                      <a:avLst/>
                    </a:prstGeom>
                    <a:noFill/>
                    <a:ln w="9525">
                      <a:noFill/>
                    </a:ln>
                  </pic:spPr>
                </pic:pic>
              </a:graphicData>
            </a:graphic>
          </wp:inline>
        </w:drawing>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t>传感器与微系统平台：是一流的传感器与微系统加工与测试验证平台，包括传感器的设计与加工、功能薄膜材料制备、传感器与微系统测试、微系统集成设计与加工等。拥有一条完整的基于微电子机械系统（MEMS）的加工工艺线，具有先进的加工、封装和测试设备，形成了整套的加工工艺规范，具备各种硅基和非硅基的微结构器件的加工和测试能力。</w:t>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14:anchorId="74543F74" wp14:editId="5F13445E">
            <wp:extent cx="4582160" cy="2783840"/>
            <wp:effectExtent l="0" t="0" r="8890" b="1651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6"/>
                    <a:stretch>
                      <a:fillRect/>
                    </a:stretch>
                  </pic:blipFill>
                  <pic:spPr>
                    <a:xfrm>
                      <a:off x="0" y="0"/>
                      <a:ext cx="4582160" cy="2783840"/>
                    </a:xfrm>
                    <a:prstGeom prst="rect">
                      <a:avLst/>
                    </a:prstGeom>
                    <a:noFill/>
                    <a:ln w="9525">
                      <a:noFill/>
                    </a:ln>
                  </pic:spPr>
                </pic:pic>
              </a:graphicData>
            </a:graphic>
          </wp:inline>
        </w:drawing>
      </w:r>
    </w:p>
    <w:p w:rsidR="004B404C" w:rsidRDefault="00F2156F" w:rsidP="00255F5C">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0132B453" wp14:editId="113C9664">
            <wp:extent cx="4330065" cy="2398395"/>
            <wp:effectExtent l="0" t="0" r="13335" b="190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7"/>
                    <a:stretch>
                      <a:fillRect/>
                    </a:stretch>
                  </pic:blipFill>
                  <pic:spPr>
                    <a:xfrm>
                      <a:off x="0" y="0"/>
                      <a:ext cx="4330065" cy="2398395"/>
                    </a:xfrm>
                    <a:prstGeom prst="rect">
                      <a:avLst/>
                    </a:prstGeom>
                    <a:noFill/>
                    <a:ln w="9525">
                      <a:noFill/>
                    </a:ln>
                  </pic:spPr>
                </pic:pic>
              </a:graphicData>
            </a:graphic>
          </wp:inline>
        </w:drawing>
      </w:r>
    </w:p>
    <w:p w:rsidR="004B404C" w:rsidRDefault="00F2156F" w:rsidP="00255F5C">
      <w:pPr>
        <w:numPr>
          <w:ilvl w:val="0"/>
          <w:numId w:val="1"/>
        </w:numPr>
        <w:spacing w:line="360" w:lineRule="auto"/>
        <w:ind w:firstLineChars="200" w:firstLine="480"/>
        <w:rPr>
          <w:rFonts w:ascii="宋体" w:eastAsia="宋体" w:hAnsi="宋体"/>
          <w:sz w:val="24"/>
          <w:szCs w:val="24"/>
        </w:rPr>
      </w:pPr>
      <w:r>
        <w:rPr>
          <w:rFonts w:ascii="宋体" w:eastAsia="宋体" w:hAnsi="宋体" w:hint="eastAsia"/>
          <w:sz w:val="24"/>
          <w:szCs w:val="24"/>
        </w:rPr>
        <w:t>环境模拟与精加工平台：具有权威性检测DILAC 、CNAS、CMA认可、认证。还有精密加工设备和大中小型环境模拟设备，既能满足高精度的零件加工需要，又能满足复杂环境模拟等科研试验要求。此外，还有一批成型产品流水线设备，可满足批量生产需要。</w:t>
      </w:r>
    </w:p>
    <w:p w:rsidR="004B404C" w:rsidRDefault="00F2156F" w:rsidP="00255F5C">
      <w:pPr>
        <w:spacing w:line="360" w:lineRule="auto"/>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14:anchorId="5C6243AF" wp14:editId="40CB6F3F">
            <wp:extent cx="5307965" cy="5351780"/>
            <wp:effectExtent l="0" t="0" r="698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8"/>
                    <a:stretch>
                      <a:fillRect/>
                    </a:stretch>
                  </pic:blipFill>
                  <pic:spPr>
                    <a:xfrm>
                      <a:off x="0" y="0"/>
                      <a:ext cx="5307965" cy="5351780"/>
                    </a:xfrm>
                    <a:prstGeom prst="rect">
                      <a:avLst/>
                    </a:prstGeom>
                    <a:noFill/>
                    <a:ln w="9525">
                      <a:noFill/>
                    </a:ln>
                  </pic:spPr>
                </pic:pic>
              </a:graphicData>
            </a:graphic>
          </wp:inline>
        </w:drawing>
      </w:r>
    </w:p>
    <w:p w:rsidR="004B404C" w:rsidRDefault="004B404C" w:rsidP="00255F5C">
      <w:pPr>
        <w:spacing w:line="360" w:lineRule="auto"/>
        <w:rPr>
          <w:rFonts w:ascii="宋体" w:eastAsia="宋体" w:hAnsi="宋体" w:cs="宋体"/>
          <w:sz w:val="24"/>
          <w:szCs w:val="24"/>
        </w:rPr>
      </w:pPr>
    </w:p>
    <w:sectPr w:rsidR="004B40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CC2" w:rsidRDefault="00291CC2" w:rsidP="00320763">
      <w:r>
        <w:separator/>
      </w:r>
    </w:p>
  </w:endnote>
  <w:endnote w:type="continuationSeparator" w:id="0">
    <w:p w:rsidR="00291CC2" w:rsidRDefault="00291CC2" w:rsidP="00320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CC2" w:rsidRDefault="00291CC2" w:rsidP="00320763">
      <w:r>
        <w:separator/>
      </w:r>
    </w:p>
  </w:footnote>
  <w:footnote w:type="continuationSeparator" w:id="0">
    <w:p w:rsidR="00291CC2" w:rsidRDefault="00291CC2" w:rsidP="00320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253655"/>
    <w:multiLevelType w:val="singleLevel"/>
    <w:tmpl w:val="F325365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Mzc4MWQ0ZmRjZjZkOWE4ZTNiYTM3Yjg0MWQ5OTcifQ=="/>
  </w:docVars>
  <w:rsids>
    <w:rsidRoot w:val="0037236A"/>
    <w:rsid w:val="00011FF7"/>
    <w:rsid w:val="000D373D"/>
    <w:rsid w:val="001A116D"/>
    <w:rsid w:val="00221460"/>
    <w:rsid w:val="00255F5C"/>
    <w:rsid w:val="00265CFA"/>
    <w:rsid w:val="00291CC2"/>
    <w:rsid w:val="002A0707"/>
    <w:rsid w:val="002A5968"/>
    <w:rsid w:val="002D6F57"/>
    <w:rsid w:val="002E3A10"/>
    <w:rsid w:val="00320763"/>
    <w:rsid w:val="00370243"/>
    <w:rsid w:val="0037236A"/>
    <w:rsid w:val="003852EE"/>
    <w:rsid w:val="003E2EBF"/>
    <w:rsid w:val="00436C66"/>
    <w:rsid w:val="00476D68"/>
    <w:rsid w:val="004B404C"/>
    <w:rsid w:val="005B3705"/>
    <w:rsid w:val="005B6945"/>
    <w:rsid w:val="00604954"/>
    <w:rsid w:val="00620B16"/>
    <w:rsid w:val="006D542B"/>
    <w:rsid w:val="006F0AD1"/>
    <w:rsid w:val="007126A7"/>
    <w:rsid w:val="007622F0"/>
    <w:rsid w:val="0077125E"/>
    <w:rsid w:val="0078005C"/>
    <w:rsid w:val="007A3FE0"/>
    <w:rsid w:val="0090086F"/>
    <w:rsid w:val="0092111A"/>
    <w:rsid w:val="00984F5B"/>
    <w:rsid w:val="00A459AA"/>
    <w:rsid w:val="00AB3057"/>
    <w:rsid w:val="00B50AAD"/>
    <w:rsid w:val="00BB2323"/>
    <w:rsid w:val="00C12770"/>
    <w:rsid w:val="00C831AF"/>
    <w:rsid w:val="00D8555F"/>
    <w:rsid w:val="00E84663"/>
    <w:rsid w:val="00EC2550"/>
    <w:rsid w:val="00EF7D59"/>
    <w:rsid w:val="00F2156F"/>
    <w:rsid w:val="00F34A4F"/>
    <w:rsid w:val="00F61DCC"/>
    <w:rsid w:val="00F72431"/>
    <w:rsid w:val="00F93919"/>
    <w:rsid w:val="077058E1"/>
    <w:rsid w:val="1B0008C6"/>
    <w:rsid w:val="1D1129C6"/>
    <w:rsid w:val="33370295"/>
    <w:rsid w:val="33B003E5"/>
    <w:rsid w:val="35481B17"/>
    <w:rsid w:val="36B27DFB"/>
    <w:rsid w:val="3FD423B1"/>
    <w:rsid w:val="41AE3DE5"/>
    <w:rsid w:val="52DF01D5"/>
    <w:rsid w:val="5A64590C"/>
    <w:rsid w:val="72AF0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pPr>
      <w:ind w:firstLineChars="200" w:firstLine="420"/>
    </w:p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paragraph" w:styleId="a7">
    <w:name w:val="Balloon Text"/>
    <w:basedOn w:val="a"/>
    <w:link w:val="Char1"/>
    <w:uiPriority w:val="99"/>
    <w:semiHidden/>
    <w:unhideWhenUsed/>
    <w:rsid w:val="00320763"/>
    <w:rPr>
      <w:sz w:val="18"/>
      <w:szCs w:val="18"/>
    </w:rPr>
  </w:style>
  <w:style w:type="character" w:customStyle="1" w:styleId="Char1">
    <w:name w:val="批注框文本 Char"/>
    <w:basedOn w:val="a0"/>
    <w:link w:val="a7"/>
    <w:uiPriority w:val="99"/>
    <w:semiHidden/>
    <w:rsid w:val="00320763"/>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pPr>
      <w:ind w:firstLineChars="200" w:firstLine="420"/>
    </w:p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paragraph" w:styleId="a7">
    <w:name w:val="Balloon Text"/>
    <w:basedOn w:val="a"/>
    <w:link w:val="Char1"/>
    <w:uiPriority w:val="99"/>
    <w:semiHidden/>
    <w:unhideWhenUsed/>
    <w:rsid w:val="00320763"/>
    <w:rPr>
      <w:sz w:val="18"/>
      <w:szCs w:val="18"/>
    </w:rPr>
  </w:style>
  <w:style w:type="character" w:customStyle="1" w:styleId="Char1">
    <w:name w:val="批注框文本 Char"/>
    <w:basedOn w:val="a0"/>
    <w:link w:val="a7"/>
    <w:uiPriority w:val="99"/>
    <w:semiHidden/>
    <w:rsid w:val="0032076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203</Words>
  <Characters>1161</Characters>
  <Application>Microsoft Office Word</Application>
  <DocSecurity>0</DocSecurity>
  <Lines>9</Lines>
  <Paragraphs>2</Paragraphs>
  <ScaleCrop>false</ScaleCrop>
  <Company>P R C</Company>
  <LinksUpToDate>false</LinksUpToDate>
  <CharactersWithSpaces>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 yb</dc:creator>
  <cp:lastModifiedBy>bangjun</cp:lastModifiedBy>
  <cp:revision>2</cp:revision>
  <cp:lastPrinted>2025-01-10T07:17:00Z</cp:lastPrinted>
  <dcterms:created xsi:type="dcterms:W3CDTF">2025-01-10T07:28:00Z</dcterms:created>
  <dcterms:modified xsi:type="dcterms:W3CDTF">2025-01-10T07:28:00Z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3998626D74A945C8A30A082F20199747_12</vt:lpwstr>
  </property>
  <property fmtid="{D5CDD505-2E9C-101B-9397-08002B2CF9AE}" pid="4" name="KSOTemplateDocerSaveRecord">
    <vt:lpwstr>eyJoZGlkIjoiZjQ4Mzc4MWQ0ZmRjZjZkOWE4ZTNiYTM3Yjg0MWQ5OTciLCJ1c2VySWQiOiI0MzY4MjM4NjkifQ==</vt:lpwstr>
  </property>
</Properties>
</file>